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82280E" w14:textId="77777777" w:rsidR="00D837D1" w:rsidRDefault="00D837D1" w:rsidP="00304E4C">
      <w:pPr>
        <w:spacing w:before="360" w:after="360" w:line="276" w:lineRule="auto"/>
        <w:ind w:left="1416" w:right="-24" w:firstLine="708"/>
        <w:rPr>
          <w:rFonts w:ascii="Times New Roman" w:hAnsi="Times New Roman" w:cs="Times New Roman"/>
          <w:b/>
          <w:sz w:val="32"/>
          <w:szCs w:val="32"/>
        </w:rPr>
      </w:pPr>
    </w:p>
    <w:p w14:paraId="5BBD918C" w14:textId="04EF32F2"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3B584F5C"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506E3F">
        <w:rPr>
          <w:rFonts w:ascii="Times New Roman" w:hAnsi="Times New Roman" w:cs="Times New Roman"/>
          <w:sz w:val="24"/>
          <w:szCs w:val="24"/>
        </w:rPr>
        <w:t>SMLO-</w:t>
      </w:r>
      <w:r w:rsidR="004B3361">
        <w:rPr>
          <w:rFonts w:ascii="Times New Roman" w:hAnsi="Times New Roman" w:cs="Times New Roman"/>
          <w:sz w:val="24"/>
          <w:szCs w:val="24"/>
        </w:rPr>
        <w:t>206</w:t>
      </w:r>
      <w:r w:rsidR="00D64D8A" w:rsidRPr="00506E3F">
        <w:rPr>
          <w:rFonts w:ascii="Times New Roman" w:hAnsi="Times New Roman" w:cs="Times New Roman"/>
          <w:sz w:val="24"/>
          <w:szCs w:val="24"/>
        </w:rPr>
        <w:t>/</w:t>
      </w:r>
      <w:r w:rsidR="00DC10AD" w:rsidRPr="00506E3F">
        <w:rPr>
          <w:rFonts w:ascii="Times New Roman" w:hAnsi="Times New Roman" w:cs="Times New Roman"/>
          <w:sz w:val="24"/>
          <w:szCs w:val="24"/>
        </w:rPr>
        <w:t>1073/OST/20/202</w:t>
      </w:r>
      <w:r w:rsidR="00F84207" w:rsidRPr="00506E3F">
        <w:rPr>
          <w:rFonts w:ascii="Times New Roman" w:hAnsi="Times New Roman" w:cs="Times New Roman"/>
          <w:sz w:val="24"/>
          <w:szCs w:val="24"/>
        </w:rPr>
        <w:t>2</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60D591C5"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00493935"/>
      <w:bookmarkStart w:id="1" w:name="_Hlk100731281"/>
      <w:r w:rsidR="00D837D1" w:rsidRPr="00D837D1">
        <w:rPr>
          <w:rFonts w:ascii="Times New Roman" w:hAnsi="Times New Roman" w:cs="Times New Roman"/>
          <w:b/>
          <w:bCs/>
          <w:szCs w:val="24"/>
        </w:rPr>
        <w:t>Poradenské služby v oblasti adaptace projekt</w:t>
      </w:r>
      <w:r w:rsidR="00D837D1" w:rsidRPr="00D837D1">
        <w:rPr>
          <w:rFonts w:ascii="Times New Roman" w:hAnsi="Times New Roman" w:cs="Times New Roman"/>
          <w:b/>
          <w:bCs/>
        </w:rPr>
        <w:t>ů</w:t>
      </w:r>
      <w:r w:rsidR="00D837D1" w:rsidRPr="00D837D1">
        <w:rPr>
          <w:rFonts w:ascii="Times New Roman" w:hAnsi="Times New Roman" w:cs="Times New Roman"/>
          <w:b/>
          <w:bCs/>
          <w:szCs w:val="24"/>
        </w:rPr>
        <w:t xml:space="preserve"> dle požadavků evropské zelené dohody</w:t>
      </w:r>
      <w:bookmarkEnd w:id="0"/>
      <w:bookmarkEnd w:id="1"/>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317D3D3E"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Ing. Antonín Jalůvka – jmenovaný zástupce statutárního orgánu, Mgr. Josef Neumann, LL.M. - jmenovaný 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7883A121"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technický náměstek</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3C973199"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D837D1">
        <w:rPr>
          <w:rFonts w:ascii="Times New Roman" w:hAnsi="Times New Roman" w:cs="Times New Roman"/>
          <w:sz w:val="24"/>
          <w:szCs w:val="24"/>
        </w:rPr>
        <w:t>v oblasti adaptace projektů dle EU</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w:t>
      </w:r>
      <w:r w:rsidRPr="00070D84">
        <w:rPr>
          <w:rFonts w:ascii="Times New Roman" w:hAnsi="Times New Roman" w:cs="Times New Roman"/>
          <w:sz w:val="24"/>
          <w:szCs w:val="24"/>
        </w:rPr>
        <w:lastRenderedPageBreak/>
        <w:t xml:space="preserve">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190DDA75"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1931E1">
        <w:rPr>
          <w:rFonts w:ascii="Times New Roman" w:hAnsi="Times New Roman" w:cs="Times New Roman"/>
          <w:sz w:val="24"/>
          <w:szCs w:val="24"/>
        </w:rPr>
        <w:t xml:space="preserve">do </w:t>
      </w:r>
      <w:r w:rsidR="00D837D1">
        <w:rPr>
          <w:rFonts w:ascii="Times New Roman" w:hAnsi="Times New Roman" w:cs="Times New Roman"/>
          <w:sz w:val="24"/>
          <w:szCs w:val="24"/>
        </w:rPr>
        <w:t>16</w:t>
      </w:r>
      <w:r w:rsidR="00F84207" w:rsidRPr="00F84207">
        <w:rPr>
          <w:rFonts w:ascii="Times New Roman" w:hAnsi="Times New Roman" w:cs="Times New Roman"/>
          <w:bCs/>
          <w:iCs/>
          <w:sz w:val="24"/>
          <w:szCs w:val="24"/>
        </w:rPr>
        <w:t xml:space="preserve"> měsíců.</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35327EB9" w14:textId="77777777" w:rsidR="008827B1" w:rsidRDefault="008827B1" w:rsidP="008827B1">
      <w:pPr>
        <w:pStyle w:val="Odstavecseseznamem"/>
        <w:spacing w:before="120" w:after="120" w:line="276" w:lineRule="auto"/>
        <w:ind w:left="360"/>
        <w:contextualSpacing w:val="0"/>
        <w:jc w:val="both"/>
        <w:rPr>
          <w:rFonts w:ascii="Times New Roman" w:hAnsi="Times New Roman" w:cs="Times New Roman"/>
          <w:sz w:val="24"/>
          <w:szCs w:val="24"/>
        </w:rPr>
      </w:pP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lastRenderedPageBreak/>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8C8C02E"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2EF9E9B1" w14:textId="77777777" w:rsidR="009E1D78" w:rsidRPr="00540E11" w:rsidRDefault="009E1D78" w:rsidP="009E1D78">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     integritě</w:t>
      </w:r>
      <w:r w:rsidRPr="00540E11">
        <w:rPr>
          <w:szCs w:val="24"/>
        </w:rPr>
        <w:t xml:space="preserve">, které </w:t>
      </w:r>
      <w:proofErr w:type="gramStart"/>
      <w:r w:rsidRPr="00540E11">
        <w:rPr>
          <w:szCs w:val="24"/>
        </w:rPr>
        <w:t>je  součástí</w:t>
      </w:r>
      <w:proofErr w:type="gramEnd"/>
      <w:r w:rsidRPr="00540E11">
        <w:rPr>
          <w:szCs w:val="24"/>
        </w:rPr>
        <w:t xml:space="preserve">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488199E6" w14:textId="77777777" w:rsidR="009E1D78" w:rsidRDefault="009E1D78" w:rsidP="009E1D78">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3253FB56"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763229">
        <w:rPr>
          <w:rFonts w:ascii="Times New Roman" w:hAnsi="Times New Roman" w:cs="Times New Roman"/>
          <w:sz w:val="24"/>
          <w:szCs w:val="24"/>
        </w:rPr>
        <w:t>16</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3F2E9013" w14:textId="77777777" w:rsidR="00474C3B" w:rsidRPr="008526D8" w:rsidRDefault="00474C3B" w:rsidP="00474C3B">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5644EE2B" w14:textId="77777777" w:rsidR="009E1D78" w:rsidRPr="00505E07" w:rsidRDefault="009E1D78" w:rsidP="009E1D78">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proofErr w:type="gramStart"/>
      <w:r>
        <w:rPr>
          <w:rFonts w:ascii="Times New Roman" w:hAnsi="Times New Roman" w:cs="Times New Roman"/>
          <w:sz w:val="24"/>
          <w:szCs w:val="24"/>
        </w:rPr>
        <w:t>přičemž  obě</w:t>
      </w:r>
      <w:proofErr w:type="gramEnd"/>
      <w:r>
        <w:rPr>
          <w:rFonts w:ascii="Times New Roman" w:hAnsi="Times New Roman" w:cs="Times New Roman"/>
          <w:sz w:val="24"/>
          <w:szCs w:val="24"/>
        </w:rPr>
        <w:t xml:space="preserve">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298D15FB" w:rsidR="00C968D9"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2490FC87" w14:textId="77777777" w:rsidR="001A0CA3" w:rsidRPr="00555ACC" w:rsidRDefault="001A0CA3" w:rsidP="00C968D9">
      <w:pPr>
        <w:pStyle w:val="Odstavecseseznamem"/>
        <w:spacing w:before="120" w:after="120" w:line="276" w:lineRule="auto"/>
        <w:ind w:left="357"/>
        <w:contextualSpacing w:val="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6814255F" w14:textId="77777777" w:rsidR="001A0CA3" w:rsidRDefault="001A0CA3" w:rsidP="00AF4BC2">
            <w:pPr>
              <w:spacing w:before="120" w:after="120" w:line="276" w:lineRule="auto"/>
              <w:rPr>
                <w:rFonts w:ascii="Times New Roman" w:hAnsi="Times New Roman" w:cs="Times New Roman"/>
                <w:sz w:val="24"/>
                <w:szCs w:val="24"/>
              </w:rPr>
            </w:pPr>
          </w:p>
          <w:p w14:paraId="198C0F88" w14:textId="6F13DD0D"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C03D19C" w14:textId="77777777" w:rsidR="001A0CA3" w:rsidRDefault="001A0CA3" w:rsidP="00AF4BC2">
            <w:pPr>
              <w:spacing w:before="120" w:after="120" w:line="276" w:lineRule="auto"/>
              <w:rPr>
                <w:rFonts w:ascii="Times New Roman" w:hAnsi="Times New Roman" w:cs="Times New Roman"/>
                <w:sz w:val="24"/>
                <w:szCs w:val="24"/>
              </w:rPr>
            </w:pPr>
          </w:p>
          <w:p w14:paraId="2D3C973E" w14:textId="67EA8BD8"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3"/>
      <w:headerReference w:type="first" r:id="rId14"/>
      <w:footerReference w:type="first" r:id="rId15"/>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682383" w14:textId="77777777" w:rsidR="00442861" w:rsidRDefault="00442861" w:rsidP="00A3112D">
      <w:pPr>
        <w:spacing w:after="0" w:line="240" w:lineRule="auto"/>
      </w:pPr>
      <w:r>
        <w:separator/>
      </w:r>
    </w:p>
  </w:endnote>
  <w:endnote w:type="continuationSeparator" w:id="0">
    <w:p w14:paraId="7CDD4B16" w14:textId="77777777" w:rsidR="00442861" w:rsidRDefault="00442861"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205F87" w14:textId="77777777" w:rsidR="00442861" w:rsidRDefault="00442861" w:rsidP="00A3112D">
      <w:pPr>
        <w:spacing w:after="0" w:line="240" w:lineRule="auto"/>
      </w:pPr>
      <w:r>
        <w:separator/>
      </w:r>
    </w:p>
  </w:footnote>
  <w:footnote w:type="continuationSeparator" w:id="0">
    <w:p w14:paraId="252DB76F" w14:textId="77777777" w:rsidR="00442861" w:rsidRDefault="00442861"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4E5DE4C4" w:rsidR="00691D95" w:rsidRDefault="00D837D1">
    <w:pPr>
      <w:pStyle w:val="Zhlav"/>
    </w:pPr>
    <w:r>
      <w:tab/>
    </w: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1851AE44">
          <wp:simplePos x="0" y="0"/>
          <wp:positionH relativeFrom="margin">
            <wp:align>center</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2CD510B8" w:rsidR="00304E4C" w:rsidRDefault="002475C9">
    <w:pPr>
      <w:pStyle w:val="Zhlav"/>
    </w:pPr>
    <w:r>
      <w:tab/>
    </w:r>
    <w:r>
      <w:tab/>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770"/>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931E1"/>
    <w:rsid w:val="001A0CA3"/>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94181"/>
    <w:rsid w:val="00296CAB"/>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42861"/>
    <w:rsid w:val="004662B4"/>
    <w:rsid w:val="004717ED"/>
    <w:rsid w:val="004718B5"/>
    <w:rsid w:val="00474C3B"/>
    <w:rsid w:val="0047619D"/>
    <w:rsid w:val="00481CA9"/>
    <w:rsid w:val="00486B75"/>
    <w:rsid w:val="004903BE"/>
    <w:rsid w:val="004917B6"/>
    <w:rsid w:val="00494A7E"/>
    <w:rsid w:val="00494E55"/>
    <w:rsid w:val="004B22F6"/>
    <w:rsid w:val="004B3361"/>
    <w:rsid w:val="004C4F44"/>
    <w:rsid w:val="004F2A33"/>
    <w:rsid w:val="004F601F"/>
    <w:rsid w:val="004F7F07"/>
    <w:rsid w:val="00501932"/>
    <w:rsid w:val="00505903"/>
    <w:rsid w:val="00505E07"/>
    <w:rsid w:val="00506B29"/>
    <w:rsid w:val="00506E3F"/>
    <w:rsid w:val="00513185"/>
    <w:rsid w:val="005165BE"/>
    <w:rsid w:val="00527FD2"/>
    <w:rsid w:val="00531852"/>
    <w:rsid w:val="005324BF"/>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4D2B"/>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63229"/>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1767E"/>
    <w:rsid w:val="0082703C"/>
    <w:rsid w:val="00843F14"/>
    <w:rsid w:val="008526D8"/>
    <w:rsid w:val="008528A9"/>
    <w:rsid w:val="008612A1"/>
    <w:rsid w:val="0086275D"/>
    <w:rsid w:val="008827B1"/>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E1D78"/>
    <w:rsid w:val="009F13F1"/>
    <w:rsid w:val="009F57FF"/>
    <w:rsid w:val="009F5993"/>
    <w:rsid w:val="00A00C76"/>
    <w:rsid w:val="00A013D4"/>
    <w:rsid w:val="00A03784"/>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81FCC"/>
    <w:rsid w:val="00B97EDE"/>
    <w:rsid w:val="00BA41CA"/>
    <w:rsid w:val="00BB0AFD"/>
    <w:rsid w:val="00BD081B"/>
    <w:rsid w:val="00BD2FA9"/>
    <w:rsid w:val="00BE7012"/>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F17A4"/>
    <w:rsid w:val="00CF460A"/>
    <w:rsid w:val="00CF648D"/>
    <w:rsid w:val="00D050BB"/>
    <w:rsid w:val="00D0650D"/>
    <w:rsid w:val="00D208A3"/>
    <w:rsid w:val="00D235D4"/>
    <w:rsid w:val="00D27FBF"/>
    <w:rsid w:val="00D321C4"/>
    <w:rsid w:val="00D322A8"/>
    <w:rsid w:val="00D360B6"/>
    <w:rsid w:val="00D37EFD"/>
    <w:rsid w:val="00D41277"/>
    <w:rsid w:val="00D43B21"/>
    <w:rsid w:val="00D5746E"/>
    <w:rsid w:val="00D62540"/>
    <w:rsid w:val="00D64D8A"/>
    <w:rsid w:val="00D7475D"/>
    <w:rsid w:val="00D837D1"/>
    <w:rsid w:val="00D85FF4"/>
    <w:rsid w:val="00D948FD"/>
    <w:rsid w:val="00D95186"/>
    <w:rsid w:val="00DA1A69"/>
    <w:rsid w:val="00DA274B"/>
    <w:rsid w:val="00DB1985"/>
    <w:rsid w:val="00DC10AD"/>
    <w:rsid w:val="00DC5831"/>
    <w:rsid w:val="00DD36DF"/>
    <w:rsid w:val="00DD39D6"/>
    <w:rsid w:val="00E04710"/>
    <w:rsid w:val="00E106A7"/>
    <w:rsid w:val="00E14A67"/>
    <w:rsid w:val="00E15B68"/>
    <w:rsid w:val="00E2026B"/>
    <w:rsid w:val="00E44F0E"/>
    <w:rsid w:val="00E817F0"/>
    <w:rsid w:val="00E82345"/>
    <w:rsid w:val="00E857F3"/>
    <w:rsid w:val="00E92CE6"/>
    <w:rsid w:val="00E976A9"/>
    <w:rsid w:val="00EA153C"/>
    <w:rsid w:val="00EA306D"/>
    <w:rsid w:val="00EA4FE8"/>
    <w:rsid w:val="00EB7BAE"/>
    <w:rsid w:val="00EC39D1"/>
    <w:rsid w:val="00EC3A5E"/>
    <w:rsid w:val="00EC48D1"/>
    <w:rsid w:val="00EE28B9"/>
    <w:rsid w:val="00EE75A4"/>
    <w:rsid w:val="00EF3CD3"/>
    <w:rsid w:val="00EF6F12"/>
    <w:rsid w:val="00F04D2B"/>
    <w:rsid w:val="00F06605"/>
    <w:rsid w:val="00F15BAE"/>
    <w:rsid w:val="00F17FB8"/>
    <w:rsid w:val="00F256BC"/>
    <w:rsid w:val="00F44C11"/>
    <w:rsid w:val="00F5716B"/>
    <w:rsid w:val="00F625B9"/>
    <w:rsid w:val="00F65826"/>
    <w:rsid w:val="00F729A8"/>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9E1D78"/>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v.nemec@susp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3.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4.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2230</Words>
  <Characters>13162</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7</cp:revision>
  <cp:lastPrinted>2022-07-12T03:33:00Z</cp:lastPrinted>
  <dcterms:created xsi:type="dcterms:W3CDTF">2022-07-11T05:06:00Z</dcterms:created>
  <dcterms:modified xsi:type="dcterms:W3CDTF">2022-07-12T03:33:00Z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